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bookmark0"/>
    <w:bookmarkStart w:id="1" w:name="_GoBack"/>
    <w:bookmarkEnd w:id="1"/>
    <w:p w:rsidR="005F7717" w:rsidRPr="00A95362" w:rsidRDefault="00A60D06" w:rsidP="00A95362">
      <w:pPr>
        <w:pStyle w:val="Heading110"/>
        <w:keepNext/>
        <w:keepLines/>
        <w:shd w:val="clear" w:color="auto" w:fill="auto"/>
        <w:spacing w:after="0" w:line="240" w:lineRule="auto"/>
        <w:ind w:right="198"/>
        <w:jc w:val="left"/>
        <w:rPr>
          <w:b w:val="0"/>
          <w:sz w:val="6"/>
        </w:rPr>
      </w:pPr>
      <w:r>
        <w:rPr>
          <w:b w:val="0"/>
          <w:noProof/>
          <w:sz w:val="20"/>
          <w:lang w:val="en-GB" w:eastAsia="en-GB" w:bidi="ar-SA"/>
        </w:rPr>
        <mc:AlternateContent>
          <mc:Choice Requires="wps">
            <w:drawing>
              <wp:anchor distT="0" distB="0" distL="114300" distR="114300" simplePos="0" relativeHeight="251659776" behindDoc="1" locked="0" layoutInCell="0" allowOverlap="1">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7717" w:rsidRPr="00260E65" w:rsidRDefault="005F7717">
                            <w:pPr>
                              <w:jc w:val="center"/>
                              <w:rPr>
                                <w:rFonts w:ascii="Arial" w:hAnsi="Arial" w:cs="Arial"/>
                                <w:b/>
                                <w:bCs/>
                                <w:sz w:val="48"/>
                              </w:rPr>
                            </w:pPr>
                            <w:r>
                              <w:rPr>
                                <w:rFonts w:ascii="Arial" w:hAnsi="Arial"/>
                                <w:b/>
                                <w:bCs/>
                                <w:sz w:val="48"/>
                              </w:rPr>
                              <w:t>SR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v:shapetype id="_x0000_t202" coordsize="21600,21600" o:spt="202" path="m,l,21600r21600,l21600,xe">
                <v:stroke joinstyle="miter"/>
                <v:path gradientshapeok="t" o:connecttype="rect"/>
              </v:shapetype>
              <v:shape id="Text Box 17" style="position:absolute;margin-left:533pt;margin-top:793.8pt;width:51pt;height:31.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260E65" w:rsidR="005F7717" w:rsidRDefault="005F7717">
                      <w:pPr>
                        <w:jc w:val="center"/>
                        <w:rPr>
                          <w:rFonts w:ascii="Arial" w:hAnsi="Arial" w:cs="Arial"/>
                          <w:b/>
                          <w:bCs/>
                          <w:sz w:val="48"/>
                        </w:rPr>
                      </w:pPr>
                      <w:r>
                        <w:rPr>
                          <w:rFonts w:ascii="Arial" w:hAnsi="Arial"/>
                          <w:b/>
                          <w:bCs/>
                          <w:sz w:val="48"/>
                        </w:rPr>
                        <w:t>SR</w:t>
                      </w:r>
                    </w:p>
                  </w:txbxContent>
                </v:textbox>
                <w10:wrap anchorx="page" anchory="page"/>
              </v:shape>
            </w:pict>
          </mc:Fallback>
        </mc:AlternateContent>
      </w:r>
    </w:p>
    <w:p w:rsidR="007D1F4E" w:rsidRPr="00A95362" w:rsidRDefault="00C87E7D" w:rsidP="00A95362">
      <w:pPr>
        <w:pStyle w:val="Heading110"/>
        <w:keepNext/>
        <w:keepLines/>
        <w:shd w:val="clear" w:color="auto" w:fill="auto"/>
        <w:ind w:right="200"/>
      </w:pPr>
      <w:r>
        <w:t>Симулација Самита о климатским променама: Земље у развоју</w:t>
      </w:r>
      <w:bookmarkEnd w:id="0"/>
    </w:p>
    <w:p w:rsidR="007D1F4E" w:rsidRPr="00A95362" w:rsidRDefault="00000A09" w:rsidP="00A95362">
      <w:pPr>
        <w:pStyle w:val="Bodytext30"/>
        <w:shd w:val="clear" w:color="auto" w:fill="auto"/>
        <w:tabs>
          <w:tab w:val="left" w:pos="994"/>
        </w:tabs>
        <w:spacing w:before="0" w:after="120"/>
        <w:ind w:left="400"/>
      </w:pPr>
      <w:r>
        <w:rPr>
          <w:noProof/>
          <w:lang w:val="en-GB" w:eastAsia="en-GB" w:bidi="ar-SA"/>
        </w:rPr>
        <w:drawing>
          <wp:anchor distT="0" distB="0" distL="63500" distR="164465" simplePos="0" relativeHeight="251657728" behindDoc="1" locked="0" layoutInCell="1" allowOverlap="1">
            <wp:simplePos x="0" y="0"/>
            <wp:positionH relativeFrom="margin">
              <wp:posOffset>21590</wp:posOffset>
            </wp:positionH>
            <wp:positionV relativeFrom="paragraph">
              <wp:posOffset>90170</wp:posOffset>
            </wp:positionV>
            <wp:extent cx="1609090" cy="883920"/>
            <wp:effectExtent l="0" t="0" r="0" b="0"/>
            <wp:wrapSquare wrapText="right"/>
            <wp:docPr id="2" name="Picture 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09090" cy="883920"/>
                    </a:xfrm>
                    <a:prstGeom prst="rect">
                      <a:avLst/>
                    </a:prstGeom>
                    <a:noFill/>
                  </pic:spPr>
                </pic:pic>
              </a:graphicData>
            </a:graphic>
            <wp14:sizeRelH relativeFrom="page">
              <wp14:pctWidth>0</wp14:pctWidth>
            </wp14:sizeRelH>
            <wp14:sizeRelV relativeFrom="page">
              <wp14:pctHeight>0</wp14:pctHeight>
            </wp14:sizeRelV>
          </wp:anchor>
        </w:drawing>
      </w:r>
      <w:r w:rsidR="00C87E7D">
        <w:t>За:</w:t>
      </w:r>
      <w:r w:rsidR="00C87E7D">
        <w:tab/>
        <w:t>Главне преговараче из земаља у развоју</w:t>
      </w:r>
    </w:p>
    <w:p w:rsidR="007D1F4E" w:rsidRPr="00A95362" w:rsidRDefault="00C87E7D" w:rsidP="00A95362">
      <w:pPr>
        <w:pStyle w:val="Bodytext20"/>
        <w:shd w:val="clear" w:color="auto" w:fill="auto"/>
        <w:ind w:left="3828" w:firstLine="0"/>
        <w:jc w:val="both"/>
      </w:pPr>
      <w:r>
        <w:t>(Преко 100 земаља: југоисточна Азија, већина земаља Средње и Јужне Америке, већина земаља Африке, мање острвске земље и велики део Блиског истока)</w:t>
      </w:r>
    </w:p>
    <w:p w:rsidR="007D1F4E" w:rsidRPr="00A95362" w:rsidRDefault="00C87E7D" w:rsidP="00A95362">
      <w:pPr>
        <w:pStyle w:val="Bodytext30"/>
        <w:shd w:val="clear" w:color="auto" w:fill="auto"/>
        <w:tabs>
          <w:tab w:val="left" w:pos="994"/>
        </w:tabs>
        <w:spacing w:before="0" w:after="120"/>
        <w:ind w:left="400"/>
      </w:pPr>
      <w:r>
        <w:t xml:space="preserve">Тема: </w:t>
      </w:r>
      <w:r>
        <w:tab/>
        <w:t>Припрема за Самит о климатским променама</w:t>
      </w:r>
    </w:p>
    <w:p w:rsidR="0063415F" w:rsidRDefault="0063415F" w:rsidP="00A95362">
      <w:pPr>
        <w:pStyle w:val="Bodytext20"/>
        <w:shd w:val="clear" w:color="auto" w:fill="auto"/>
        <w:ind w:firstLine="0"/>
        <w:jc w:val="both"/>
      </w:pPr>
      <w:r>
        <w:t xml:space="preserve">Добро дошли на Самит о климатским променама. Генерални секретар УН вас је заједно са другим лидерима свих релевантних заинтересованих страна позвао да заједничким радом успешно одговорите на климатске промене. Генерални секретар је у свом позиву </w:t>
      </w:r>
      <w:r>
        <w:rPr>
          <w:color w:val="0000FF"/>
          <w:u w:val="single"/>
        </w:rPr>
        <w:t>истакао</w:t>
      </w:r>
      <w:r>
        <w:t>: „Климатска ванредна ситуација је трка у којој губимо, али то је трка у којој можемо да победимо... Врхунска наука... говори нам да ће свако повећање температуре које прелази 1,5°C довести до огромне и неповратне штете по екосистеме који нас издржавају... Међутим, наука нам такође говори да није прекасно. Ми то можемо... Али биће нам неопходне темељне промене у свим аспектима друштва – у начину на који узгајамо храну, искоришћавамо земљу, трошимо гориво за превоз и струју за своје привреде... Уколико делујемо заједно, нико неће бити препуштен сам себи“.</w:t>
      </w:r>
    </w:p>
    <w:p w:rsidR="007D1F4E" w:rsidRPr="00A95362" w:rsidRDefault="0063415F" w:rsidP="00A95362">
      <w:pPr>
        <w:pStyle w:val="Bodytext20"/>
        <w:shd w:val="clear" w:color="auto" w:fill="auto"/>
        <w:ind w:firstLine="0"/>
        <w:jc w:val="both"/>
      </w:pPr>
      <w:r>
        <w:t xml:space="preserve">Циљ овог самита је стварање плана којим би се глобално загревање ограничило на мање од 2°C [3,6°F] изнад прединдустријских нивоа, уз тежњу да то буде 1,5°C [2,7°F], што су формално признати међународни циљеви у Париском споразуму о клими. </w:t>
      </w:r>
      <w:r>
        <w:rPr>
          <w:color w:val="0000FF"/>
          <w:u w:val="single"/>
        </w:rPr>
        <w:t>Научни докази</w:t>
      </w:r>
      <w:r>
        <w:t xml:space="preserve"> су јасни: загревање изнад овог ограничења задаће катастрофалне и неповратне ударце који прете здрављу, напретку и животима људи у свим земљама.</w:t>
      </w:r>
    </w:p>
    <w:p w:rsidR="007D1F4E" w:rsidRPr="00A95362" w:rsidRDefault="00C87E7D" w:rsidP="00A95362">
      <w:pPr>
        <w:pStyle w:val="Bodytext20"/>
        <w:shd w:val="clear" w:color="auto" w:fill="auto"/>
        <w:ind w:firstLine="0"/>
        <w:jc w:val="both"/>
      </w:pPr>
      <w:r>
        <w:t>Ви представљате најмање развијене земље света. Укупна популација ваших земаља броји 2,9 милијарди људи или око 38% од 7,7 милијарди становника света и брзо се увећава. Међутим, ваше земље заједно чине тек 16% светке привреде и имају нижи БДП (бруто домаћи производ) по глави становника и много присутније сиромаштво у односу на развијене земље.</w:t>
      </w:r>
    </w:p>
    <w:p w:rsidR="007D1F4E" w:rsidRPr="00A95362" w:rsidRDefault="00C87E7D" w:rsidP="00A95362">
      <w:pPr>
        <w:pStyle w:val="Bodytext20"/>
        <w:shd w:val="clear" w:color="auto" w:fill="auto"/>
        <w:spacing w:line="244" w:lineRule="exact"/>
        <w:ind w:left="400"/>
        <w:jc w:val="both"/>
      </w:pPr>
      <w:r>
        <w:t>Ваше приоритетне смернице наведене су у наставку. Међутим, можете да предложите или блокирате све расположиве смернице.</w:t>
      </w:r>
    </w:p>
    <w:p w:rsidR="007D1F4E" w:rsidRPr="00A95362" w:rsidRDefault="00C87E7D" w:rsidP="00A95362">
      <w:pPr>
        <w:pStyle w:val="Bodytext30"/>
        <w:numPr>
          <w:ilvl w:val="0"/>
          <w:numId w:val="1"/>
        </w:numPr>
        <w:shd w:val="clear" w:color="auto" w:fill="auto"/>
        <w:tabs>
          <w:tab w:val="left" w:pos="362"/>
        </w:tabs>
        <w:spacing w:before="0" w:after="120"/>
        <w:ind w:left="400"/>
      </w:pPr>
      <w:r>
        <w:t>Субвенционисање обновљиве енергије (нпр. соларне, енергије ветра, геотермалне, хидроенергије и складиштења енергије).</w:t>
      </w:r>
    </w:p>
    <w:p w:rsidR="007D1F4E" w:rsidRPr="00A95362" w:rsidRDefault="00C87E7D" w:rsidP="00A95362">
      <w:pPr>
        <w:pStyle w:val="Bodytext20"/>
        <w:shd w:val="clear" w:color="auto" w:fill="auto"/>
        <w:ind w:left="400" w:firstLine="0"/>
        <w:jc w:val="both"/>
      </w:pPr>
      <w:r>
        <w:rPr>
          <w:rStyle w:val="Bodytext23"/>
        </w:rPr>
        <w:t>Индустрија обновљиве енергије се брзо развија, али и даље чини свега 5% снабдевања енергијом широм света. Субвенције ће поспешити раст тих делатности и притом створити нова радна места у вашим земљама (уколико претекнете унапређења соларне, енергије ветра и технологију акумулације у развијеним земљама). Складиштење (нпр. акумулатори, термална складишта, складишта реверзибилних хидроелектрана) и управљање динамичним оптерећењем у електричном напајању омогућавају интеграцију различитих обновљивих енергија, попут соларне или енергије ветра у енергетски систем и обезбеђују непрекидно електрично напајање. Субвенције за обновљиве видове енергије које би платиле развијене земље и земље у брзом успону попут Кине, у великој мери би појефтиниле те изворе енергије у вашим земљама у убрзале економски развој.</w:t>
      </w:r>
    </w:p>
    <w:p w:rsidR="007D1F4E" w:rsidRPr="00A95362" w:rsidRDefault="00A067A5" w:rsidP="00A95362">
      <w:pPr>
        <w:pStyle w:val="Bodytext30"/>
        <w:numPr>
          <w:ilvl w:val="0"/>
          <w:numId w:val="1"/>
        </w:numPr>
        <w:shd w:val="clear" w:color="auto" w:fill="auto"/>
        <w:tabs>
          <w:tab w:val="left" w:pos="362"/>
        </w:tabs>
        <w:spacing w:before="0" w:after="120"/>
        <w:ind w:left="400"/>
        <w:rPr>
          <w:b w:val="0"/>
        </w:rPr>
      </w:pPr>
      <w:r>
        <w:t>Смањење емисија метана, азотног оксида и других гасова са ефектом стаклене баште.</w:t>
      </w:r>
      <w:r>
        <w:rPr>
          <w:b w:val="0"/>
        </w:rPr>
        <w:t xml:space="preserve"> CO</w:t>
      </w:r>
      <w:r>
        <w:rPr>
          <w:b w:val="0"/>
          <w:vertAlign w:val="subscript"/>
        </w:rPr>
        <w:t>2</w:t>
      </w:r>
      <w:r>
        <w:rPr>
          <w:b w:val="0"/>
        </w:rPr>
        <w:t xml:space="preserve"> најпознатији гас са ефектом стаклене баште, али други гасови проузрокују око једне четвртине глобалног загревања. Ту спадају метан (CH</w:t>
      </w:r>
      <w:r>
        <w:rPr>
          <w:b w:val="0"/>
          <w:vertAlign w:val="subscript"/>
        </w:rPr>
        <w:t>4</w:t>
      </w:r>
      <w:r>
        <w:rPr>
          <w:b w:val="0"/>
        </w:rPr>
        <w:t>), азотни оксид (N</w:t>
      </w:r>
      <w:r>
        <w:rPr>
          <w:b w:val="0"/>
          <w:vertAlign w:val="subscript"/>
        </w:rPr>
        <w:t>2</w:t>
      </w:r>
      <w:r>
        <w:rPr>
          <w:b w:val="0"/>
        </w:rPr>
        <w:t>O) и широк спектар флуороугљеника и других сродних флуорованих једињења (тзв. „F-гасова“). Молекул по молекул, многи гасови који нису CO</w:t>
      </w:r>
      <w:r>
        <w:rPr>
          <w:b w:val="0"/>
          <w:vertAlign w:val="subscript"/>
        </w:rPr>
        <w:t>2</w:t>
      </w:r>
      <w:r>
        <w:rPr>
          <w:b w:val="0"/>
        </w:rPr>
        <w:t xml:space="preserve"> ће у наредном веку допринети десетинама, стотинама, па чак и хиљадама пута више глобалном загревању него CO</w:t>
      </w:r>
      <w:r>
        <w:rPr>
          <w:b w:val="0"/>
          <w:vertAlign w:val="subscript"/>
        </w:rPr>
        <w:t>2</w:t>
      </w:r>
      <w:r>
        <w:rPr>
          <w:b w:val="0"/>
        </w:rPr>
        <w:t xml:space="preserve">. Иако су њихове концентрације ниске, оне се брзо увећавају. Већина ових емисија потиче из развијених земаља и привреда </w:t>
      </w:r>
      <w:r>
        <w:rPr>
          <w:b w:val="0"/>
        </w:rPr>
        <w:lastRenderedPageBreak/>
        <w:t>света у брзом успону.</w:t>
      </w:r>
    </w:p>
    <w:p w:rsidR="007D1F4E" w:rsidRPr="00A95362" w:rsidRDefault="00A067A5" w:rsidP="00A95362">
      <w:pPr>
        <w:pStyle w:val="Bodytext30"/>
        <w:numPr>
          <w:ilvl w:val="0"/>
          <w:numId w:val="1"/>
        </w:numPr>
        <w:shd w:val="clear" w:color="auto" w:fill="auto"/>
        <w:tabs>
          <w:tab w:val="left" w:pos="362"/>
        </w:tabs>
        <w:spacing w:before="0" w:after="120"/>
        <w:ind w:left="400"/>
      </w:pPr>
      <w:r>
        <w:t>Смањење сече шума.</w:t>
      </w:r>
      <w:r>
        <w:rPr>
          <w:b w:val="0"/>
        </w:rPr>
        <w:t xml:space="preserve"> Сеча шума тренутно проузрокује око 15% глобалних емисија гасова са ефектом стаклене баште. Сеча шума се у великој мери одвија у тропским шумама у вашим земљама, укључујући басен Амазона, и јужну и југосточну Азију и Африку. Заштита шума може да смањи те емисије, те да очува биодиверзитет и заштити изворе воде. Међутим, ограничавање крчења шума уједно смањује потенцијал за искоришћавање тог земљишта за производњу дрвне грађе, хране, биоенергије и друге важне намене.</w:t>
      </w:r>
    </w:p>
    <w:p w:rsidR="007D1F4E" w:rsidRPr="00A95362" w:rsidRDefault="00C87E7D" w:rsidP="00A95362">
      <w:pPr>
        <w:pStyle w:val="Bodytext20"/>
        <w:numPr>
          <w:ilvl w:val="0"/>
          <w:numId w:val="1"/>
        </w:numPr>
        <w:shd w:val="clear" w:color="auto" w:fill="auto"/>
        <w:tabs>
          <w:tab w:val="left" w:pos="362"/>
        </w:tabs>
        <w:ind w:left="400"/>
        <w:jc w:val="both"/>
      </w:pPr>
      <w:r>
        <w:rPr>
          <w:rStyle w:val="Bodytext2Bold"/>
        </w:rPr>
        <w:t xml:space="preserve">Разматрање пошумљавања. </w:t>
      </w:r>
      <w:r>
        <w:t>Пошумљавање подразумева садњу нових шума на земљишту на коме нема дрвећа, понекад је то земљиште са ког је претходно посечена шума или је оно било деградирано. Уколико би се спровело пошумљавање великих размера, земљиште које је неопходно за усеве или узгој стоке било би заузето, што би повећало цене хране. Размотрите колико земљишта би било неопходно за политике пошумљавања које предлажу ваша и друге групе.</w:t>
      </w:r>
    </w:p>
    <w:p w:rsidR="007D1F4E" w:rsidRPr="00A95362" w:rsidRDefault="00C87E7D" w:rsidP="00A95362">
      <w:pPr>
        <w:pStyle w:val="Bodytext20"/>
        <w:numPr>
          <w:ilvl w:val="0"/>
          <w:numId w:val="1"/>
        </w:numPr>
        <w:shd w:val="clear" w:color="auto" w:fill="auto"/>
        <w:tabs>
          <w:tab w:val="left" w:pos="362"/>
        </w:tabs>
        <w:ind w:left="400"/>
        <w:jc w:val="both"/>
      </w:pPr>
      <w:r>
        <w:rPr>
          <w:rStyle w:val="Bodytext2Bold"/>
        </w:rPr>
        <w:t xml:space="preserve">Разматрање опорезивања угља. </w:t>
      </w:r>
      <w:r>
        <w:t>Многе ваше земље граде нове руднике угља и електране, иако је угаљ угљенично најинтензивније гориво, а такође је у великој мери одговоран за загађење ваздуха које данас шкоди милионима људи у вашим земљама. Опорезивање, законско регулисање или чак постепено избацивање угља могу брзо да смање емисије, сузбију опасно загађење ваздуха и унапреде здравље становништва.</w:t>
      </w:r>
    </w:p>
    <w:p w:rsidR="007D1F4E" w:rsidRPr="00A95362" w:rsidRDefault="00E65821" w:rsidP="00A95362">
      <w:pPr>
        <w:pStyle w:val="Bodytext20"/>
        <w:numPr>
          <w:ilvl w:val="0"/>
          <w:numId w:val="1"/>
        </w:numPr>
        <w:shd w:val="clear" w:color="auto" w:fill="auto"/>
        <w:tabs>
          <w:tab w:val="left" w:pos="362"/>
        </w:tabs>
        <w:ind w:left="400"/>
        <w:jc w:val="both"/>
      </w:pPr>
      <w:r>
        <w:rPr>
          <w:b/>
        </w:rPr>
        <w:t>Разматрање увођења накнаде за емисије CO</w:t>
      </w:r>
      <w:r>
        <w:rPr>
          <w:b/>
          <w:vertAlign w:val="subscript"/>
        </w:rPr>
        <w:t>2</w:t>
      </w:r>
      <w:r>
        <w:rPr>
          <w:b/>
        </w:rPr>
        <w:t>.</w:t>
      </w:r>
      <w:r>
        <w:t xml:space="preserve"> Фосилна горива и даље доминирају светским енергетским системом, а CO</w:t>
      </w:r>
      <w:r>
        <w:rPr>
          <w:vertAlign w:val="subscript"/>
        </w:rPr>
        <w:t>2</w:t>
      </w:r>
      <w:r>
        <w:t xml:space="preserve"> који емитују без сумње је највећи чинилац климатских промена. Данашње тржишне цене не обухватају штетна дејства која фосилна горива имају на животну средину и друштво (њихове „негативне екстерналије“). Што је још горе, владе широм света, укључујући и многе међу вама, годишње обезбеђују између 775 милијарди и 1 трилиона УСД за субвенционисање производње фосилних горива. Економисти се слажу да је накнада за угљенични отисак најбољи начин за смањивање глобалних емисија гасова са ефектом стаклене баште (GHG). Размотрите пружање подршке накнади за угљенични отисак широм света коју би можда требало постепено уводити да бисте оставили време за прилагођавање.</w:t>
      </w:r>
    </w:p>
    <w:p w:rsidR="007D1F4E" w:rsidRPr="00A95362" w:rsidRDefault="00C87E7D" w:rsidP="00A95362">
      <w:pPr>
        <w:pStyle w:val="Bodytext20"/>
        <w:shd w:val="clear" w:color="auto" w:fill="auto"/>
        <w:ind w:left="400" w:firstLine="0"/>
        <w:jc w:val="both"/>
      </w:pPr>
      <w:r>
        <w:t>Приходи би могли да се усмере у јавне услуге или да умање трошкове за друге политике. Иако су накнаде за угљенични отисак уведене у неколико земаља, оне су далеко ниже од 30–50 УСД по тони CO</w:t>
      </w:r>
      <w:r>
        <w:rPr>
          <w:vertAlign w:val="subscript"/>
        </w:rPr>
        <w:t>2</w:t>
      </w:r>
      <w:r>
        <w:t xml:space="preserve"> и већих накнада које већина економиста препоручује. Међутим, ви не можете себи да дозволите пребрзо деловање јер средње класе у вашим земљама теже да приуште производе и услуге које људи у развијеним земљама подразумевају – аутомобиле, клима уређаје, путовања авионом итд, док сиромашни траже поуздану електричну енергију, чисту воду, храну, здравствену заштиту, пристојно становање и остале основне људске потребе – и њих би одмах погодиле растуће цене енергената.</w:t>
      </w:r>
    </w:p>
    <w:p w:rsidR="0033065F" w:rsidRPr="00AD738F" w:rsidRDefault="0033065F" w:rsidP="00A95362">
      <w:pPr>
        <w:pStyle w:val="Bodytext50"/>
        <w:shd w:val="clear" w:color="auto" w:fill="auto"/>
        <w:spacing w:before="0"/>
      </w:pPr>
    </w:p>
    <w:p w:rsidR="007D1F4E" w:rsidRPr="00A95362" w:rsidRDefault="00C87E7D" w:rsidP="00A95362">
      <w:pPr>
        <w:pStyle w:val="Bodytext50"/>
        <w:shd w:val="clear" w:color="auto" w:fill="auto"/>
        <w:spacing w:before="0"/>
      </w:pPr>
      <w:r>
        <w:t>Додатне теме за разматрање</w:t>
      </w:r>
    </w:p>
    <w:p w:rsidR="007D1F4E" w:rsidRPr="00A95362" w:rsidRDefault="00C87E7D" w:rsidP="00A95362">
      <w:pPr>
        <w:pStyle w:val="Bodytext20"/>
        <w:shd w:val="clear" w:color="auto" w:fill="auto"/>
        <w:ind w:firstLine="0"/>
        <w:jc w:val="both"/>
      </w:pPr>
      <w:r>
        <w:t xml:space="preserve">Многи људи у вашим земљама немају приступ електричној нити некој другој поузданој енергији коју могу да приуште. Ваше земље одговорне су свега за око 24% данашњих глобалних емисија гасова са ефектом стаклене баште (GHG), а нивои емисија по особи далеко су нижи од оних у развијеним земљама, а и у Кини. Ипак, коришћење фосилних горива у вашим земљама се брзо шири како се ваше привреде развијају. Развијене земље су генерисале највећи део кумулативних емисија GHG гасова које су довеле до климатских промена, док становници ваших земаља највише пате због њих и имају најмање капацитета да им се прилагоде. Верујете да оне имају моралну одговорност да смање своје емисије и да политике које представљају одговор на климатске промене не могу да се дозволе уколико успоравају ваш економски развој и могућност да свом становништву обезбедите храну, радна места, становање, образовање, здравствену </w:t>
      </w:r>
      <w:r>
        <w:lastRenderedPageBreak/>
        <w:t>заштиту и остале основне потребе које се у развијеним земљама подразумевају.</w:t>
      </w:r>
    </w:p>
    <w:p w:rsidR="007D1F4E" w:rsidRPr="00A95362" w:rsidRDefault="00C87E7D" w:rsidP="00A95362">
      <w:pPr>
        <w:pStyle w:val="Bodytext20"/>
        <w:shd w:val="clear" w:color="auto" w:fill="auto"/>
        <w:ind w:firstLine="0"/>
        <w:jc w:val="both"/>
      </w:pPr>
      <w:r>
        <w:t>Истовремено, климатске промене представљају озбиљне ризике по ваш просперитет, здравље и животе. Загађење ваздуха из фосилних горива у вашим земљама сваке године доводи до преурањене смрти милиона људи. Пораст нивоа мора, екстремне временске прилике, суше, пад приноса са усева и друга штетна дејства изазвана климатским променама убрзано доводе до сукоба и миграција, подривају легитимитет ваших влада, а у случају мањих острвских држава, чак и саму вашу егзистенцију. Ваше земље имају прилику да квалитативним скоком избегну енергетске системе засноване на фосилним горивима и одмах пређу на систем чисте, ефикасне и обновљиве енергије, баш као што сте таквим скоком пропустили фиксну телефонију и одмах увели мобилне телефоне. Енергетска ефикасност и обновљиви извори попут соларне или енергије ветра, често су профитабилни, стварају радна места и економске прилике и побољшавају здравље становништва.</w:t>
      </w:r>
    </w:p>
    <w:p w:rsidR="00F367C3" w:rsidRPr="00A95362" w:rsidRDefault="00F367C3" w:rsidP="00A95362">
      <w:pPr>
        <w:spacing w:after="120"/>
        <w:jc w:val="center"/>
      </w:pPr>
      <w:r>
        <w:t>_____________</w:t>
      </w:r>
    </w:p>
    <w:p w:rsidR="00F367C3" w:rsidRPr="00A95362" w:rsidRDefault="00F367C3" w:rsidP="00A95362">
      <w:pPr>
        <w:pStyle w:val="Bodytext20"/>
        <w:shd w:val="clear" w:color="auto" w:fill="auto"/>
        <w:ind w:firstLine="0"/>
        <w:jc w:val="both"/>
        <w:rPr>
          <w:lang w:val="en-GB"/>
        </w:rPr>
      </w:pPr>
    </w:p>
    <w:sectPr w:rsidR="00F367C3" w:rsidRPr="00A95362" w:rsidSect="00A95362">
      <w:footerReference w:type="default" r:id="rId8"/>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4E3B" w:rsidRDefault="00C87E7D">
      <w:r>
        <w:separator/>
      </w:r>
    </w:p>
  </w:endnote>
  <w:endnote w:type="continuationSeparator" w:id="0">
    <w:p w:rsidR="00AD4E3B" w:rsidRDefault="00C87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7C3" w:rsidRPr="00A95362" w:rsidRDefault="00F367C3">
    <w:pPr>
      <w:pStyle w:val="Footer"/>
      <w:rPr>
        <w:i/>
        <w:sz w:val="20"/>
        <w:szCs w:val="20"/>
      </w:rPr>
    </w:pPr>
    <w:r>
      <w:rPr>
        <w:i/>
        <w:sz w:val="20"/>
        <w:szCs w:val="20"/>
      </w:rPr>
      <w:t xml:space="preserve">Развили: Climate Interactive, MIT Sloan School of Management Sustainability Initiative, ESB Business School и UMass Lowell Climate Change Initiative. Последњи пут ажурирано у септембру 2019. </w:t>
    </w:r>
    <w:hyperlink r:id="rId1" w:history="1">
      <w:r>
        <w:rPr>
          <w:i/>
          <w:sz w:val="20"/>
          <w:szCs w:val="20"/>
        </w:rPr>
        <w:t>www.cllmatelnteractlve.org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1F4E" w:rsidRDefault="007D1F4E"/>
  </w:footnote>
  <w:footnote w:type="continuationSeparator" w:id="0">
    <w:p w:rsidR="007D1F4E" w:rsidRDefault="007D1F4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AB7F66"/>
    <w:multiLevelType w:val="multilevel"/>
    <w:tmpl w:val="82160A1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F4E"/>
    <w:rsid w:val="00000A09"/>
    <w:rsid w:val="000478B6"/>
    <w:rsid w:val="00114C61"/>
    <w:rsid w:val="00237F46"/>
    <w:rsid w:val="0033065F"/>
    <w:rsid w:val="00345F9F"/>
    <w:rsid w:val="00363BF1"/>
    <w:rsid w:val="003A2E5D"/>
    <w:rsid w:val="003F232F"/>
    <w:rsid w:val="00486689"/>
    <w:rsid w:val="005F7717"/>
    <w:rsid w:val="0063415F"/>
    <w:rsid w:val="006C020C"/>
    <w:rsid w:val="007120A5"/>
    <w:rsid w:val="00791C4B"/>
    <w:rsid w:val="007A17D4"/>
    <w:rsid w:val="007A2EE5"/>
    <w:rsid w:val="007D1F4E"/>
    <w:rsid w:val="008C0530"/>
    <w:rsid w:val="008C1937"/>
    <w:rsid w:val="00905CB5"/>
    <w:rsid w:val="009163DF"/>
    <w:rsid w:val="009F352F"/>
    <w:rsid w:val="00A067A5"/>
    <w:rsid w:val="00A17A2C"/>
    <w:rsid w:val="00A34C83"/>
    <w:rsid w:val="00A60D06"/>
    <w:rsid w:val="00A95053"/>
    <w:rsid w:val="00A95362"/>
    <w:rsid w:val="00AD4E3B"/>
    <w:rsid w:val="00AD738F"/>
    <w:rsid w:val="00B8781E"/>
    <w:rsid w:val="00BA4467"/>
    <w:rsid w:val="00BE676E"/>
    <w:rsid w:val="00C87E7D"/>
    <w:rsid w:val="00D10989"/>
    <w:rsid w:val="00DC3A12"/>
    <w:rsid w:val="00E65821"/>
    <w:rsid w:val="00F367C3"/>
    <w:rsid w:val="00FA67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401E82-4A13-4F06-8F2D-CB8829E047EA}"/>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sr-Cyrl-RS"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sr-Cyrl-RS"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sr-Cyrl-RS"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sr-Cyrl-RS" w:eastAsia="en-US" w:bidi="en-US"/>
    </w:rPr>
  </w:style>
  <w:style w:type="character" w:customStyle="1" w:styleId="Bodytext3NotBold">
    <w:name w:val="Body text|3 + Not Bold"/>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sr-Cyrl-RS" w:eastAsia="en-US" w:bidi="en-US"/>
    </w:rPr>
  </w:style>
  <w:style w:type="character" w:customStyle="1" w:styleId="Bodytext365pt">
    <w:name w:val="Body text|3 + 6.5 pt"/>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sr-Cyrl-RS"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sr-Cyrl-RS"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sr-Cyrl-RS"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Bold0">
    <w:name w:val="Body text|2 + Bold"/>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sr-Cyrl-RS"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0" w:line="402" w:lineRule="exact"/>
      <w:jc w:val="center"/>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0" w:line="269" w:lineRule="exact"/>
      <w:ind w:hanging="400"/>
      <w:jc w:val="both"/>
    </w:pPr>
    <w:rPr>
      <w:b/>
      <w:bCs/>
      <w:sz w:val="22"/>
      <w:szCs w:val="22"/>
    </w:rPr>
  </w:style>
  <w:style w:type="paragraph" w:customStyle="1" w:styleId="Bodytext20">
    <w:name w:val="Body text|2"/>
    <w:basedOn w:val="Normal"/>
    <w:link w:val="Bodytext2"/>
    <w:qFormat/>
    <w:pPr>
      <w:shd w:val="clear" w:color="auto" w:fill="FFFFFF"/>
      <w:spacing w:after="120" w:line="269" w:lineRule="exact"/>
      <w:ind w:hanging="400"/>
    </w:pPr>
    <w:rPr>
      <w:sz w:val="22"/>
      <w:szCs w:val="22"/>
    </w:rPr>
  </w:style>
  <w:style w:type="paragraph" w:customStyle="1" w:styleId="Bodytext40">
    <w:name w:val="Body text|4"/>
    <w:basedOn w:val="Normal"/>
    <w:link w:val="Bodytext4"/>
    <w:pPr>
      <w:shd w:val="clear" w:color="auto" w:fill="FFFFFF"/>
      <w:spacing w:before="44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F367C3"/>
    <w:pPr>
      <w:tabs>
        <w:tab w:val="center" w:pos="4513"/>
        <w:tab w:val="right" w:pos="9026"/>
      </w:tabs>
    </w:pPr>
  </w:style>
  <w:style w:type="character" w:customStyle="1" w:styleId="HeaderChar">
    <w:name w:val="Header Char"/>
    <w:basedOn w:val="DefaultParagraphFont"/>
    <w:link w:val="Header"/>
    <w:uiPriority w:val="99"/>
    <w:rsid w:val="00F367C3"/>
    <w:rPr>
      <w:color w:val="000000"/>
    </w:rPr>
  </w:style>
  <w:style w:type="paragraph" w:styleId="Footer">
    <w:name w:val="footer"/>
    <w:basedOn w:val="Normal"/>
    <w:link w:val="FooterChar"/>
    <w:uiPriority w:val="99"/>
    <w:unhideWhenUsed/>
    <w:rsid w:val="00F367C3"/>
    <w:pPr>
      <w:tabs>
        <w:tab w:val="center" w:pos="4513"/>
        <w:tab w:val="right" w:pos="9026"/>
      </w:tabs>
    </w:pPr>
  </w:style>
  <w:style w:type="character" w:customStyle="1" w:styleId="FooterChar">
    <w:name w:val="Footer Char"/>
    <w:basedOn w:val="DefaultParagraphFont"/>
    <w:link w:val="Footer"/>
    <w:uiPriority w:val="99"/>
    <w:rsid w:val="00F367C3"/>
    <w:rPr>
      <w:color w:val="000000"/>
    </w:rPr>
  </w:style>
  <w:style w:type="paragraph" w:styleId="BalloonText">
    <w:name w:val="Balloon Text"/>
    <w:basedOn w:val="Normal"/>
    <w:link w:val="BalloonTextChar"/>
    <w:uiPriority w:val="99"/>
    <w:semiHidden/>
    <w:unhideWhenUsed/>
    <w:rsid w:val="00A953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5362"/>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CTJJHAUHWN5E-644613129-1056</_dlc_DocId>
    <_dlc_DocIdUrl xmlns="bfc960a6-20da-4c94-8684-71380fca093b">
      <Url>http://dm2016/eesc/2019/_layouts/15/DocIdRedir.aspx?ID=CTJJHAUHWN5E-644613129-1056</Url>
      <Description>CTJJHAUHWN5E-644613129-1056</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2019-11-29T12:00:00+00:00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152</Value>
      <Value>11</Value>
      <Value>154</Value>
      <Value>162</Value>
      <Value>246</Value>
      <Value>7</Value>
      <Value>5</Value>
      <Value>4</Value>
      <Value>2</Value>
      <Value>1</Value>
      <Value>153</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SR</TermName>
          <TermId xmlns="http://schemas.microsoft.com/office/infopath/2007/PartnerControls">7f3a1d13-b985-4bfd-981e-afe31377edff</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11389</FicheNumber>
    <DocumentPart xmlns="bfc960a6-20da-4c94-8684-71380fca093b">6</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F48750-5280-46C0-8BFD-4BD68FFFE408}"/>
</file>

<file path=customXml/itemProps2.xml><?xml version="1.0" encoding="utf-8"?>
<ds:datastoreItem xmlns:ds="http://schemas.openxmlformats.org/officeDocument/2006/customXml" ds:itemID="{3AF21131-8623-42E3-B8D6-612F00ADD352}"/>
</file>

<file path=customXml/itemProps3.xml><?xml version="1.0" encoding="utf-8"?>
<ds:datastoreItem xmlns:ds="http://schemas.openxmlformats.org/officeDocument/2006/customXml" ds:itemID="{CD9D1479-8D62-4210-9B4F-486D0C28EE6D}"/>
</file>

<file path=customXml/itemProps4.xml><?xml version="1.0" encoding="utf-8"?>
<ds:datastoreItem xmlns:ds="http://schemas.openxmlformats.org/officeDocument/2006/customXml" ds:itemID="{19AC27A3-E386-4EA2-AF80-BFBAC3A6C9A9}"/>
</file>

<file path=docProps/app.xml><?xml version="1.0" encoding="utf-8"?>
<Properties xmlns="http://schemas.openxmlformats.org/officeDocument/2006/extended-properties" xmlns:vt="http://schemas.openxmlformats.org/officeDocument/2006/docPropsVTypes">
  <Template>Styles.dotm</Template>
  <TotalTime>0</TotalTime>
  <Pages>3</Pages>
  <Words>1223</Words>
  <Characters>6977</Characters>
  <Application>Microsoft Office Word</Application>
  <DocSecurity>4</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8184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Working Documents - Group 6B - Developing Nations (II)</dc:title>
  <dc:creator>CDT</dc:creator>
  <cp:keywords>EESC-2019-05163-06-00-INFO-TRA-EN</cp:keywords>
  <dc:description>Rapporteur:  - Original language: EN - Date of document: 29/11/2019 - Date of meeting:  - External documents:  - Administrator: MME Lahousse Chloé</dc:description>
  <cp:lastModifiedBy>Robert Urukalo</cp:lastModifiedBy>
  <cp:revision>2</cp:revision>
  <dcterms:created xsi:type="dcterms:W3CDTF">2019-11-29T07:16:00Z</dcterms:created>
  <dcterms:modified xsi:type="dcterms:W3CDTF">2019-11-29T07:16:00Z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11:30:13, 11:18:43</vt:lpwstr>
  </property>
  <property fmtid="{D5CDD505-2E9C-101B-9397-08002B2CF9AE}" pid="5" name="Pref_User">
    <vt:lpwstr>mkop, htoo</vt:lpwstr>
  </property>
  <property fmtid="{D5CDD505-2E9C-101B-9397-08002B2CF9AE}" pid="6" name="Pref_FileName">
    <vt:lpwstr>EESC-2019-05163-06-00-INFO-TRA-EN-CRR.docx, EESC-2019-05163-06-00-INFO-CRR-EN.docx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cacd66bc-8d7e-4e28-b076-d334b9c86212</vt:lpwstr>
  </property>
  <property fmtid="{D5CDD505-2E9C-101B-9397-08002B2CF9AE}" pid="9" name="AvailableTranslations">
    <vt:lpwstr>162;#TR|6e4ededd-04c4-4fa0-94e0-1028050302d5;#246;#ME|925b3da5-5ac0-4b3c-928c-6ef66a5c9b3c;#154;#SQ|5ac17240-8d11-45ec-9893-659b209d7a00;#153;#SR|7f3a1d13-b985-4bfd-981e-afe31377edff;#4;#EN|f2175f21-25d7-44a3-96da-d6a61b075e1b;#152;#MK|34ce48bb-063e-4413-a932-50853dc71c5c</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6</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ME|925b3da5-5ac0-4b3c-928c-6ef66a5c9b3c;EN|f2175f21-25d7-44a3-96da-d6a61b075e1b;MK|34ce48bb-063e-4413-a932-50853dc71c5c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152;#MK|34ce48bb-063e-4413-a932-50853dc71c5c;#11;#INFO|d9136e7c-93a9-4c42-9d28-92b61e85f80c;#246;#ME|925b3da5-5ac0-4b3c-928c-6ef66a5c9b3c;#7;#Final|ea5e6674-7b27-4bac-b091-73adbb394efe;#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11389</vt:i4>
  </property>
  <property fmtid="{D5CDD505-2E9C-101B-9397-08002B2CF9AE}" pid="37" name="DocumentLanguage">
    <vt:lpwstr>153;#SR|7f3a1d13-b985-4bfd-981e-afe31377edff</vt:lpwstr>
  </property>
  <property fmtid="{D5CDD505-2E9C-101B-9397-08002B2CF9AE}" pid="38" name="_docset_NoMedatataSyncRequired">
    <vt:lpwstr>False</vt:lpwstr>
  </property>
</Properties>
</file>